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810CE6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12534900</wp:posOffset>
            </wp:positionH>
            <wp:positionV relativeFrom="topMargin">
              <wp:posOffset>10591800</wp:posOffset>
            </wp:positionV>
            <wp:extent cx="368300" cy="266700"/>
            <wp:effectExtent l="0" t="0" r="12700" b="0"/>
            <wp:wrapNone/>
            <wp:docPr id="100042" name="图片 1000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图片 10004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24"/>
        </w:rPr>
        <w:t>机密★本科目考试启用前</w:t>
      </w:r>
    </w:p>
    <w:p w14:paraId="2927E5E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北京市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2025</w:t>
      </w:r>
      <w:r>
        <w:rPr>
          <w:rFonts w:ascii="宋体" w:hAnsi="宋体" w:eastAsia="宋体" w:cs="宋体"/>
          <w:b/>
          <w:color w:val="auto"/>
          <w:sz w:val="32"/>
        </w:rPr>
        <w:t>年普通高中学业水平等级性考试</w:t>
      </w:r>
    </w:p>
    <w:p w14:paraId="1A6BAC18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</w:t>
      </w:r>
      <w:r>
        <w:rPr>
          <w:rFonts w:hint="eastAsia" w:ascii="宋体" w:hAnsi="宋体" w:cs="宋体"/>
          <w:b/>
          <w:color w:val="auto"/>
          <w:sz w:val="32"/>
          <w:lang w:val="en-US" w:eastAsia="zh-CN"/>
        </w:rPr>
        <w:t xml:space="preserve"> </w:t>
      </w:r>
      <w:r>
        <w:rPr>
          <w:rFonts w:ascii="宋体" w:hAnsi="宋体" w:eastAsia="宋体" w:cs="宋体"/>
          <w:b/>
          <w:color w:val="auto"/>
          <w:sz w:val="32"/>
        </w:rPr>
        <w:t>理</w:t>
      </w:r>
    </w:p>
    <w:p w14:paraId="6AEF638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本试卷共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</w:t>
      </w:r>
      <w:r>
        <w:rPr>
          <w:rFonts w:ascii="宋体" w:hAnsi="宋体" w:eastAsia="宋体" w:cs="宋体"/>
          <w:b/>
          <w:color w:val="auto"/>
          <w:sz w:val="24"/>
        </w:rPr>
        <w:t>页，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分。考试时长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分钟。考生务必将答案答在答题卡上，在试卷上作答无效。考试结束后，将本试卷和答题卡一并交回。</w:t>
      </w:r>
    </w:p>
    <w:p w14:paraId="0DEF395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第一部分</w:t>
      </w:r>
    </w:p>
    <w:p w14:paraId="67693DAB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题，每题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45</w:t>
      </w:r>
      <w:r>
        <w:rPr>
          <w:rFonts w:ascii="宋体" w:hAnsi="宋体" w:eastAsia="宋体" w:cs="宋体"/>
          <w:b/>
          <w:color w:val="auto"/>
          <w:sz w:val="24"/>
        </w:rPr>
        <w:t>分。在每题列出的四个选项中，选出最符合题目要求的一项。</w:t>
      </w:r>
    </w:p>
    <w:p w14:paraId="4EC4DFC0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中医药是中华文明瑰宝。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十四五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期间，我国加强中医药文化研究和建设，国际交流不断深化，服务贸易积极发展。北京某校开展</w:t>
      </w:r>
      <w:r>
        <w:rPr>
          <w:rFonts w:ascii="宋体" w:hAnsi="宋体" w:eastAsia="宋体" w:cs="宋体"/>
          <w:color w:val="auto"/>
        </w:rPr>
        <w:t>“</w:t>
      </w:r>
      <w:r>
        <w:rPr>
          <w:rFonts w:ascii="楷体" w:hAnsi="楷体" w:eastAsia="楷体" w:cs="楷体"/>
          <w:color w:val="auto"/>
        </w:rPr>
        <w:t>跟着节气识草药</w:t>
      </w:r>
      <w:r>
        <w:rPr>
          <w:rFonts w:ascii="宋体" w:hAnsi="宋体" w:eastAsia="宋体" w:cs="宋体"/>
          <w:color w:val="auto"/>
        </w:rPr>
        <w:t>”</w:t>
      </w:r>
      <w:r>
        <w:rPr>
          <w:rFonts w:ascii="楷体" w:hAnsi="楷体" w:eastAsia="楷体" w:cs="楷体"/>
          <w:color w:val="auto"/>
        </w:rPr>
        <w:t>跨学科主题学习。下图为某同学手绘的金银花名片。读图，完成下面小题。</w:t>
      </w:r>
    </w:p>
    <w:tbl>
      <w:tblPr>
        <w:tblStyle w:val="4"/>
        <w:tblW w:w="6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320"/>
        <w:gridCol w:w="5355"/>
      </w:tblGrid>
      <w:tr w14:paraId="467BE76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4AB36">
            <w:pPr>
              <w:spacing w:line="360" w:lineRule="auto"/>
              <w:jc w:val="left"/>
            </w:pPr>
            <w:r>
              <w:drawing>
                <wp:inline distT="0" distB="0" distL="114300" distR="114300">
                  <wp:extent cx="685800" cy="1019175"/>
                  <wp:effectExtent l="0" t="0" r="0" b="9525"/>
                  <wp:docPr id="100003" name="图片 10000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3" name="图片 10000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" cy="1019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EA8BBD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金银花</w:t>
            </w:r>
          </w:p>
          <w:p w14:paraId="16103BEB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生长习性：喜光、耐阴、耐寒、耐旱、耐涝、耐贫瘠，适宜种植的海拔范围一般在</w:t>
            </w:r>
            <w:r>
              <w:rPr>
                <w:rFonts w:ascii="Times New Roman" w:hAnsi="Times New Roman" w:eastAsia="Times New Roman" w:cs="Times New Roman"/>
                <w:color w:val="auto"/>
              </w:rPr>
              <w:t>400—1600</w:t>
            </w:r>
            <w:r>
              <w:rPr>
                <w:rFonts w:ascii="楷体" w:hAnsi="楷体" w:eastAsia="楷体" w:cs="楷体"/>
                <w:color w:val="auto"/>
              </w:rPr>
              <w:t>米。</w:t>
            </w:r>
          </w:p>
          <w:p w14:paraId="1B0054D1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产品用途：金银花茶适宜清热解暑，金银花爽肤精华露用于护肤等。</w:t>
            </w:r>
          </w:p>
          <w:p w14:paraId="14135C67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经济价值：药用价值、食用价值和观赏价值等。</w:t>
            </w:r>
          </w:p>
          <w:p w14:paraId="17B6D4F8">
            <w:pPr>
              <w:spacing w:line="360" w:lineRule="auto"/>
              <w:jc w:val="left"/>
            </w:pPr>
            <w:r>
              <w:rPr>
                <w:rFonts w:ascii="楷体" w:hAnsi="楷体" w:eastAsia="楷体" w:cs="楷体"/>
                <w:color w:val="auto"/>
              </w:rPr>
              <w:t>海外市场：东南亚、西亚、北美洲、南美洲和非洲等。</w:t>
            </w:r>
          </w:p>
        </w:tc>
      </w:tr>
    </w:tbl>
    <w:p w14:paraId="0737B15E">
      <w:pPr>
        <w:spacing w:line="360" w:lineRule="auto"/>
        <w:jc w:val="left"/>
      </w:pPr>
    </w:p>
    <w:p w14:paraId="5953859B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按名片所示用途，该同学建议家人饮用金银花茶最适宜的节气是（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3A38BF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立春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惊蛰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芒种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白露</w:t>
      </w:r>
    </w:p>
    <w:p w14:paraId="0C51D41B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通过技术研发，某地将金银花种植海拔提升至</w:t>
      </w:r>
      <w:r>
        <w:rPr>
          <w:rFonts w:ascii="Times New Roman" w:hAnsi="Times New Roman" w:eastAsia="Times New Roman" w:cs="Times New Roman"/>
          <w:color w:val="auto"/>
        </w:rPr>
        <w:t>2500</w:t>
      </w:r>
      <w:r>
        <w:rPr>
          <w:rFonts w:ascii="宋体" w:hAnsi="宋体" w:eastAsia="宋体" w:cs="宋体"/>
          <w:color w:val="auto"/>
        </w:rPr>
        <w:t>米。该地位于（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F123CA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云贵高原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山东丘陵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东南丘陵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大兴安岭</w:t>
      </w:r>
    </w:p>
    <w:p w14:paraId="332E0ED6">
      <w:pPr>
        <w:spacing w:line="360" w:lineRule="auto"/>
        <w:jc w:val="left"/>
      </w:pPr>
      <w:r>
        <w:rPr>
          <w:color w:val="auto"/>
        </w:rPr>
        <w:t xml:space="preserve">3. </w:t>
      </w:r>
      <w:r>
        <w:rPr>
          <w:rFonts w:ascii="宋体" w:hAnsi="宋体" w:eastAsia="宋体" w:cs="宋体"/>
          <w:color w:val="auto"/>
        </w:rPr>
        <w:t>金银花产品远销海外，主要得益于（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03FD833B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①中医文化传播  ②食用观赏价值  ③国家政策支持  ④种植成本低廉</w:t>
      </w:r>
    </w:p>
    <w:p w14:paraId="2D28E9A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①③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③④</w:t>
      </w:r>
    </w:p>
    <w:p w14:paraId="6B0712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月开始，北京引入新疆阿勒泰（</w:t>
      </w:r>
      <w:r>
        <w:rPr>
          <w:rFonts w:ascii="Times New Roman" w:hAnsi="Times New Roman" w:eastAsia="Times New Roman" w:cs="Times New Roman"/>
          <w:color w:val="000000"/>
        </w:rPr>
        <w:t>47.83°N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88.14°E</w:t>
      </w:r>
      <w:r>
        <w:rPr>
          <w:rFonts w:ascii="楷体" w:hAnsi="楷体" w:eastAsia="楷体" w:cs="楷体"/>
          <w:color w:val="000000"/>
        </w:rPr>
        <w:t>）、哈密（</w:t>
      </w:r>
      <w:r>
        <w:rPr>
          <w:rFonts w:ascii="Times New Roman" w:hAnsi="Times New Roman" w:eastAsia="Times New Roman" w:cs="Times New Roman"/>
          <w:color w:val="000000"/>
        </w:rPr>
        <w:t>42.83°N</w:t>
      </w:r>
      <w:r>
        <w:rPr>
          <w:rFonts w:ascii="楷体" w:hAnsi="楷体" w:eastAsia="楷体" w:cs="楷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93.52°E</w:t>
      </w:r>
      <w:r>
        <w:rPr>
          <w:rFonts w:ascii="楷体" w:hAnsi="楷体" w:eastAsia="楷体" w:cs="楷体"/>
          <w:color w:val="000000"/>
        </w:rPr>
        <w:t>）等地的光伏绿电。据此，完成下面小题。</w:t>
      </w:r>
    </w:p>
    <w:p w14:paraId="7BF16C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该月，（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2B682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北京正午影长逐渐变长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哈密日落时间逐渐提前</w:t>
      </w:r>
    </w:p>
    <w:p w14:paraId="03DD556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阿勒泰日出方向为东南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北京比阿勒泰白昼更短</w:t>
      </w:r>
    </w:p>
    <w:p w14:paraId="4047E4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绿电进京（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12E1D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增加新疆能源类型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提升新疆用电需求</w:t>
      </w:r>
    </w:p>
    <w:p w14:paraId="55AF108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延迟北京用电高峰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助力北京低碳发展</w:t>
      </w:r>
    </w:p>
    <w:p w14:paraId="7A0C406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下图为某村景观示意图。读图，完成下面小题。</w:t>
      </w:r>
    </w:p>
    <w:p w14:paraId="05CA86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81525" cy="9715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338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该村适宜发展（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759CA9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养殖业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交通运输业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纺织业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商贸服务业</w:t>
      </w:r>
    </w:p>
    <w:p w14:paraId="1C11832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近年来，该村积极在林地中种植蘑菇、木耳，能够（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9B5CE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预防泥石流的发生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提高资源环境承载力</w:t>
      </w:r>
    </w:p>
    <w:p w14:paraId="4005403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增加乔木植物种类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改变山地垂直地带性</w:t>
      </w:r>
    </w:p>
    <w:p w14:paraId="79EC19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下图为北京时间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</w:t>
      </w:r>
      <w:r>
        <w:rPr>
          <w:rFonts w:ascii="Times New Roman" w:hAnsi="Times New Roman" w:eastAsia="Times New Roman" w:cs="Times New Roman"/>
          <w:color w:val="000000"/>
        </w:rPr>
        <w:t>08</w:t>
      </w:r>
      <w:r>
        <w:rPr>
          <w:rFonts w:ascii="宋体" w:hAnsi="宋体" w:eastAsia="宋体" w:cs="宋体"/>
          <w:color w:val="000000"/>
        </w:rPr>
        <w:t>时亚洲局部地区海平面气压分布图。读图，回答问题。</w:t>
      </w:r>
    </w:p>
    <w:p w14:paraId="688E14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66950" cy="25717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669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22F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据图推断，当日（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FCE134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甲地气流辐合上升，大气逆辐射强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乙地受东北风影响，海面波浪滔天</w:t>
      </w:r>
    </w:p>
    <w:p w14:paraId="6452DA2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丙地受冷气团控制，气温持续降低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丁地准静止锋停滞，天空浓雾弥漫</w:t>
      </w:r>
    </w:p>
    <w:p w14:paraId="4E3C96D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下图为某古生代和中生代地层的地质剖面示意图。读图，完成下面小题。</w:t>
      </w:r>
    </w:p>
    <w:p w14:paraId="7C092C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67125" cy="22288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C1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图中（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2F5A08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①岩层中发现三叶虫化石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②岩层由变质作用形成</w:t>
      </w:r>
    </w:p>
    <w:p w14:paraId="2FC0940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②岩层曾受到过外力侵蚀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③岩层晚于①岩层形成</w:t>
      </w:r>
    </w:p>
    <w:p w14:paraId="69F8EB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据图判断（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DF6DF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断层形成早于古生代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背斜的形成早于侵蚀面</w:t>
      </w:r>
    </w:p>
    <w:p w14:paraId="4276025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油气藏分布在泥岩中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岩层最深处已达上地幔</w:t>
      </w:r>
    </w:p>
    <w:p w14:paraId="556E64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每年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楷体" w:hAnsi="楷体" w:eastAsia="楷体" w:cs="楷体"/>
          <w:color w:val="000000"/>
        </w:rPr>
        <w:t>月中旬至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楷体" w:hAnsi="楷体" w:eastAsia="楷体" w:cs="楷体"/>
          <w:color w:val="000000"/>
        </w:rPr>
        <w:t>月初，瑞典的驼鹿开始从森林向草场迁徙。下图示意驼鹿迁徙的大致方向。读图，完成下面小题。</w:t>
      </w:r>
    </w:p>
    <w:p w14:paraId="4E1242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38475" cy="25431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E4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驼鹿迁徙（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3C066D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时段正值降水骤减月份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范围在极地高气压带区域</w:t>
      </w:r>
    </w:p>
    <w:p w14:paraId="4D67A1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沿途地势大致由低到高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直接受北大西洋暖流控制</w:t>
      </w:r>
    </w:p>
    <w:p w14:paraId="2BF0D5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研究显示，近年来驼鹿迁徙开始时间有所提前，最可能是由于（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696427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海水盐度增加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气候变暖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土壤肥力下降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草场退化</w:t>
      </w:r>
    </w:p>
    <w:p w14:paraId="0AFF86D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楷体" w:hAnsi="楷体" w:eastAsia="楷体" w:cs="楷体"/>
          <w:color w:val="000000"/>
        </w:rPr>
        <w:t>月，《长江经济带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楷体" w:hAnsi="楷体" w:eastAsia="楷体" w:cs="楷体"/>
          <w:color w:val="000000"/>
        </w:rPr>
        <w:t>长江流域国土空间规划（</w:t>
      </w:r>
      <w:r>
        <w:rPr>
          <w:rFonts w:ascii="Times New Roman" w:hAnsi="Times New Roman" w:eastAsia="Times New Roman" w:cs="Times New Roman"/>
          <w:color w:val="000000"/>
        </w:rPr>
        <w:t>2021—2035</w:t>
      </w:r>
      <w:r>
        <w:rPr>
          <w:rFonts w:ascii="楷体" w:hAnsi="楷体" w:eastAsia="楷体" w:cs="楷体"/>
          <w:color w:val="000000"/>
        </w:rPr>
        <w:t>年）》发布。下图为该规划范围的局部示意图。据此完成下面小题。</w:t>
      </w:r>
    </w:p>
    <w:p w14:paraId="23A013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19575" cy="231457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BCDD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13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图示区域规划范围大于长江流域范围，主要考虑到（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668236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保持县域范围的完整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利于三江源生态建设</w:t>
      </w:r>
    </w:p>
    <w:p w14:paraId="55B1800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确保水运航道的畅通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反映地貌的形态特征</w:t>
      </w:r>
    </w:p>
    <w:p w14:paraId="4E60AF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大渡河流域丹巴至泸定一带生态修复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重点是（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6A27E1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退湖还耕与盐碱防治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农田保护与虫害根治</w:t>
      </w:r>
    </w:p>
    <w:p w14:paraId="48DA2F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61" name="图片 100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水源涵养与矿山修复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黑土治理与沙化防控</w:t>
      </w:r>
    </w:p>
    <w:p w14:paraId="17D2EA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下图分别表示某地四类主体功能区所提供产品的价值构成比例。读图，回答问题。</w:t>
      </w:r>
    </w:p>
    <w:p w14:paraId="136954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33900" cy="7810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4DC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图中序号代表重点生态功能区的是（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46964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④</w:t>
      </w:r>
    </w:p>
    <w:p w14:paraId="0AE2C03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第二部分</w:t>
      </w:r>
    </w:p>
    <w:p w14:paraId="60B050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本部分共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55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7E7EE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某校学生赴易水流域进行野外实习。图（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）为易水流域局部示意图，图（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）为旱情监测系统的相关模块。读图，回答下列问题。</w:t>
      </w:r>
    </w:p>
    <w:p w14:paraId="740E0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43450" cy="198120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FC9B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任务一  考察流域水土保持</w:t>
      </w:r>
    </w:p>
    <w:p w14:paraId="72FCB5A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同学们从水土保持科教馆获取在相同降雨条件下，不同土地利用类型的土壤流失量数据，如表所示。</w:t>
      </w:r>
    </w:p>
    <w:tbl>
      <w:tblPr>
        <w:tblStyle w:val="4"/>
        <w:tblW w:w="769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23"/>
        <w:gridCol w:w="1924"/>
        <w:gridCol w:w="1924"/>
        <w:gridCol w:w="1924"/>
      </w:tblGrid>
      <w:tr w14:paraId="1EF7675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E03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土地利用类型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4A5D1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林地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9C907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坡耕地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C5D3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裸地</w:t>
            </w:r>
          </w:p>
        </w:tc>
      </w:tr>
      <w:tr w14:paraId="66FC61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82DB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土壤流失量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/t·hm</w:t>
            </w:r>
            <w:r>
              <w:rPr>
                <w:color w:val="000000"/>
                <w:vertAlign w:val="superscript"/>
              </w:rPr>
              <w:t>-2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16E3DF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2.2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1D7F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60.1</w:t>
            </w:r>
          </w:p>
        </w:tc>
        <w:tc>
          <w:tcPr>
            <w:tcW w:w="19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5495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27.4</w:t>
            </w:r>
          </w:p>
        </w:tc>
      </w:tr>
    </w:tbl>
    <w:p w14:paraId="19B9AEC5">
      <w:pPr>
        <w:spacing w:line="360" w:lineRule="auto"/>
        <w:jc w:val="left"/>
        <w:textAlignment w:val="center"/>
        <w:rPr>
          <w:color w:val="000000"/>
        </w:rPr>
      </w:pPr>
    </w:p>
    <w:p w14:paraId="11189A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在林地与坡耕地中任选其一，说明其与裸地的水土流失差异及原因。</w:t>
      </w:r>
    </w:p>
    <w:p w14:paraId="42829EE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任务二  调研资源利用状况</w:t>
      </w:r>
    </w:p>
    <w:p w14:paraId="67AE981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同学们前往大龙华乡新型建材集中区调研。该区是易县打造的京津冀绿色建材产业基地之一，利用本地丰富的石灰岩资源，高温煅烧水泥，生产水泥制品等。</w:t>
      </w:r>
    </w:p>
    <w:p w14:paraId="772389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列举当地发展绿色水泥产业应采取的主要措施。</w:t>
      </w:r>
    </w:p>
    <w:p w14:paraId="3ADF79C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任务三  设计旱情监测方案</w:t>
      </w:r>
    </w:p>
    <w:p w14:paraId="1C7BB6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同学们来到安格庄水库管理站，探究水库灌溉功能，设计基于遥感技术的旱情监测方案。</w:t>
      </w:r>
    </w:p>
    <w:p w14:paraId="056F8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结合图（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），绘制灌溉区旱情监测系统结构框图，归纳遥感技术的优势。</w:t>
      </w:r>
    </w:p>
    <w:p w14:paraId="550AA6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下图为哥斯达黎加地图。读图，回答下列问题。</w:t>
      </w:r>
    </w:p>
    <w:p w14:paraId="12DFD4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57525" cy="25146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E9A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概括该国铁路分布的特点。</w:t>
      </w:r>
    </w:p>
    <w:p w14:paraId="37AA582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近年来，哥斯达黎加利用自身优势，积极发展水产品加工业，并参加中国主办的水产品开发利用方面的培训，提升生产水平。</w:t>
      </w:r>
    </w:p>
    <w:p w14:paraId="27865F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阐明该国发展水产品加工业的条件。</w:t>
      </w:r>
    </w:p>
    <w:p w14:paraId="5A1FC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图（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）为雪峰山及周边区域示意图，图（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）为雪峰山东坡与西坡不同高度的气温、降水量示意图。读图，回答下列问题。</w:t>
      </w:r>
    </w:p>
    <w:p w14:paraId="697DB3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267652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C6D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与西坡相比，说明同海拔东坡气温、降水特点及依据。</w:t>
      </w:r>
    </w:p>
    <w:p w14:paraId="1D09954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雪峰山国家森林公园前身是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楷体" w:hAnsi="楷体" w:eastAsia="楷体" w:cs="楷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楷体" w:hAnsi="楷体" w:eastAsia="楷体" w:cs="楷体"/>
          <w:color w:val="000000"/>
        </w:rPr>
        <w:t>年代的雪峰山国有林场，森林覆盖率由林场初期的不足</w:t>
      </w:r>
      <w:r>
        <w:rPr>
          <w:rFonts w:ascii="Times New Roman" w:hAnsi="Times New Roman" w:eastAsia="Times New Roman" w:cs="Times New Roman"/>
          <w:color w:val="000000"/>
        </w:rPr>
        <w:t>20%</w:t>
      </w:r>
      <w:r>
        <w:rPr>
          <w:rFonts w:ascii="楷体" w:hAnsi="楷体" w:eastAsia="楷体" w:cs="楷体"/>
          <w:color w:val="000000"/>
        </w:rPr>
        <w:t>提高到现今的</w:t>
      </w:r>
      <w:r>
        <w:rPr>
          <w:rFonts w:ascii="Times New Roman" w:hAnsi="Times New Roman" w:eastAsia="Times New Roman" w:cs="Times New Roman"/>
          <w:color w:val="000000"/>
        </w:rPr>
        <w:t>90%</w:t>
      </w:r>
      <w:r>
        <w:rPr>
          <w:rFonts w:ascii="楷体" w:hAnsi="楷体" w:eastAsia="楷体" w:cs="楷体"/>
          <w:color w:val="000000"/>
        </w:rPr>
        <w:t>以上。</w:t>
      </w:r>
    </w:p>
    <w:p w14:paraId="0110E95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指出该地主要森林植被类型，简述森林覆盖率提高的影响因素。</w:t>
      </w:r>
    </w:p>
    <w:p w14:paraId="55E83E9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雪峰山以西地区传统民居体现了多民族特色。</w:t>
      </w:r>
    </w:p>
    <w:p w14:paraId="0258E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概述该地区民居具有多民族特色的地理条件。</w:t>
      </w:r>
    </w:p>
    <w:p w14:paraId="40C2E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1957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月，港商华先生来到广州，参加首届中国出口商品交易会（简称“广交会”），到装有风扇的土特产展馆选购粮油产品。下图为广交会会址示意图。读图，回答下列问题。</w:t>
      </w:r>
    </w:p>
    <w:p w14:paraId="07959D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648075" cy="190500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0D6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说明首届交易会选址广州并在春季举行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</w:p>
    <w:p w14:paraId="6DE64D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此后，华先生亲历了会址从广东流花展贸中心到广州国际会展中心的变迁。</w:t>
      </w:r>
      <w:r>
        <w:rPr>
          <w:rFonts w:ascii="Times New Roman" w:hAnsi="Times New Roman" w:eastAsia="Times New Roman" w:cs="Times New Roman"/>
          <w:color w:val="000000"/>
        </w:rPr>
        <w:t>2008</w:t>
      </w:r>
      <w:r>
        <w:rPr>
          <w:rFonts w:ascii="楷体" w:hAnsi="楷体" w:eastAsia="楷体" w:cs="楷体"/>
          <w:color w:val="000000"/>
        </w:rPr>
        <w:t>年华先生与孙子小华来到新会址，在现代化、生态化和智能化的展馆里感悟广州城市发展的辉煌历程。</w:t>
      </w:r>
    </w:p>
    <w:p w14:paraId="54D84D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描述广交会会址的区位变化，阐明该变化对新址周边地区发展的影响。</w:t>
      </w:r>
    </w:p>
    <w:p w14:paraId="5B7D3E46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为拓展对外贸易，小华参加</w:t>
      </w: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广交会，在北方某镇地毯展位前洽谈相关事宜。该展位负责人向小华介绍，多年前他独自参加广交会，后来带动乡邻组团参展，获得外贸订单、行业信息和客户建议，不断改进地毯设计和制作工艺，获批数十项专利。如今，当地涌现多家大企业，地毯研发、原材料和设备供应、物流仓储迅速发展，地毯出口量占全国的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楷体" w:hAnsi="楷体" w:eastAsia="楷体" w:cs="楷体"/>
          <w:color w:val="000000"/>
        </w:rPr>
        <w:t>。双方约定广交会后，小华前往该镇进行实地考察。</w:t>
      </w:r>
    </w:p>
    <w:p w14:paraId="66752D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概括广交会对该镇地毯产业发展的促进作用。</w:t>
      </w:r>
    </w:p>
    <w:p w14:paraId="4737CB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某集团校倡导数智赋能学习，开展主题为“探秘家乡作物种质资源”的研究性学习。下图为四个城市校区的学生在云端交流时呈现的调研报告（节选）。读图，回答问题。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752"/>
        <w:gridCol w:w="2850"/>
        <w:gridCol w:w="2723"/>
      </w:tblGrid>
      <w:tr w14:paraId="0893C8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F5BD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495425" cy="1666875"/>
                  <wp:effectExtent l="0" t="0" r="9525" b="9525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542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E3E5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作物种质资源</w:t>
            </w:r>
          </w:p>
          <w:p w14:paraId="530D24B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种质资源是农业的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芯片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，是国家重要的战略性资源，是人类生存和发展的宝贵财富。</w:t>
            </w:r>
          </w:p>
          <w:p w14:paraId="586AD26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29" name="图片 10002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9" name="图片 10002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作物育种、生物科学研究的创新基础和农业生产的物质基础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W w:w="30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DDA0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作物种质库</w:t>
            </w:r>
          </w:p>
          <w:p w14:paraId="43A815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1" name="图片 10003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种质库是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国之重器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，用于保存和保护种质资源，防止种质资源国环境变化、自然灾害或人类活动而灭绝。</w:t>
            </w:r>
          </w:p>
          <w:p w14:paraId="19801C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3" name="图片 10003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3" name="图片 10003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北京有国家级、市级作物种质资源保护单位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楷体" w:hAnsi="楷体" w:eastAsia="楷体" w:cs="楷体"/>
                <w:color w:val="000000"/>
              </w:rPr>
              <w:t>家，保存的种质资源居全国首位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  <w:tr w14:paraId="245215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2C3F6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探秘杂粮王国</w:t>
            </w:r>
          </w:p>
          <w:p w14:paraId="69219A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5" name="图片 10003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5" name="图片 10003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国家特色杂粮作物种质库保存有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  <w:r>
              <w:rPr>
                <w:rFonts w:ascii="楷体" w:hAnsi="楷体" w:eastAsia="楷体" w:cs="楷体"/>
                <w:color w:val="000000"/>
              </w:rPr>
              <w:t>万多份种质资源。</w:t>
            </w:r>
          </w:p>
          <w:p w14:paraId="5111B0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7" name="图片 10003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7" name="图片 10003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山西翼城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珍珠玉米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是我国优异作物种质资源之一。</w:t>
            </w:r>
          </w:p>
          <w:p w14:paraId="6D37F8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39" name="图片 10003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9" name="图片 10003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杂粮秸秆可以作为生物质能的原料，提供可再生的绿色能源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W w:w="25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60296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647825" cy="1876425"/>
                  <wp:effectExtent l="0" t="0" r="9525" b="9525"/>
                  <wp:docPr id="100041" name="图片 10004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1" name="图片 10004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7825" cy="187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1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D9B5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揭秘稻源情深</w:t>
            </w:r>
          </w:p>
          <w:p w14:paraId="0B7463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3" name="图片 10004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3" name="图片 10004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国家水稻种质库保存有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  <w:r>
              <w:rPr>
                <w:rFonts w:ascii="楷体" w:hAnsi="楷体" w:eastAsia="楷体" w:cs="楷体"/>
                <w:color w:val="000000"/>
              </w:rPr>
              <w:t>万多份种质资源。</w:t>
            </w:r>
          </w:p>
          <w:p w14:paraId="41812A6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5" name="图片 10004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5" name="图片 10004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浙江上山遗址是世界稻作农业的起源地之一，出土了一万年前的炭化稻米。</w:t>
            </w:r>
          </w:p>
          <w:p w14:paraId="0D1C7B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7" name="图片 10004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7" name="图片 10004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大粒粳、庆元黑米等特色品种传承至今，与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稻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结缘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</w:tr>
      <w:tr w14:paraId="6F791D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7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9B0B0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超级</w:t>
            </w:r>
            <w:r>
              <w:rPr>
                <w:rFonts w:ascii="宋体" w:hAnsi="宋体" w:eastAsia="宋体" w:cs="宋体"/>
                <w:color w:val="000000"/>
              </w:rPr>
              <w:t>“</w:t>
            </w:r>
            <w:r>
              <w:rPr>
                <w:rFonts w:ascii="楷体" w:hAnsi="楷体" w:eastAsia="楷体" w:cs="楷体"/>
                <w:color w:val="000000"/>
              </w:rPr>
              <w:t>油</w:t>
            </w:r>
            <w:r>
              <w:rPr>
                <w:rFonts w:ascii="宋体" w:hAnsi="宋体" w:eastAsia="宋体" w:cs="宋体"/>
                <w:color w:val="000000"/>
              </w:rPr>
              <w:t>”</w:t>
            </w:r>
            <w:r>
              <w:rPr>
                <w:rFonts w:ascii="楷体" w:hAnsi="楷体" w:eastAsia="楷体" w:cs="楷体"/>
                <w:color w:val="000000"/>
              </w:rPr>
              <w:t>力量</w:t>
            </w:r>
          </w:p>
          <w:p w14:paraId="38A688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49" name="图片 10004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49" name="图片 10004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国家油料作物种质库保存有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  <w:r>
              <w:rPr>
                <w:rFonts w:ascii="楷体" w:hAnsi="楷体" w:eastAsia="楷体" w:cs="楷体"/>
                <w:color w:val="000000"/>
              </w:rPr>
              <w:t>万多份种质资源。</w:t>
            </w:r>
          </w:p>
          <w:p w14:paraId="4368986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71450" cy="190500"/>
                  <wp:effectExtent l="0" t="0" r="0" b="0"/>
                  <wp:docPr id="100051" name="图片 10005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1" name="图片 10005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5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楷体" w:hAnsi="楷体" w:eastAsia="楷体" w:cs="楷体"/>
                <w:color w:val="000000"/>
              </w:rPr>
              <w:t>植物油转化为生物柴油，可以部分替代化石燃料</w:t>
            </w:r>
            <w:r>
              <w:rPr>
                <w:rFonts w:ascii="宋体" w:hAnsi="宋体" w:eastAsia="宋体" w:cs="宋体"/>
                <w:color w:val="000000"/>
              </w:rPr>
              <w:t>……</w:t>
            </w:r>
          </w:p>
        </w:tc>
        <w:tc>
          <w:tcPr>
            <w:tcW w:w="5535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3B7A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借助人工智能绘制国家作物种质资源普查示意图</w:t>
            </w:r>
            <w:r>
              <w:rPr>
                <w:color w:val="000000"/>
              </w:rPr>
              <w:drawing>
                <wp:inline distT="0" distB="0" distL="114300" distR="114300">
                  <wp:extent cx="238125" cy="304800"/>
                  <wp:effectExtent l="0" t="0" r="9525" b="0"/>
                  <wp:docPr id="100053" name="图片 10005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53" name="图片 10005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" cy="30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483F4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结合实例，论述保护作物种质资源对国家安全的意义。</w:t>
      </w:r>
      <w:bookmarkStart w:id="0" w:name="_GoBack"/>
      <w:bookmarkEnd w:id="0"/>
    </w:p>
    <w:sectPr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crosoft YaHei UI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3E060D2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wmf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wmf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805</Words>
  <Characters>890</Characters>
  <TotalTime>0</TotalTime>
  <ScaleCrop>false</ScaleCrop>
  <LinksUpToDate>false</LinksUpToDate>
  <CharactersWithSpaces>974</CharactersWithSpaces>
  <Application>WPS Office_12.1.0.21541_F1E327BC-269C-435d-A152-05C5408002CA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2025-06-18T01:51:29Z</dcterms:created>
  <dc:creator>何京应</dc:creator>
  <cp:lastModifiedBy>何京应</cp:lastModifiedBy>
  <dcterms:modified xsi:type="dcterms:W3CDTF">2025-06-18T01:51:35Z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eyJoZGlkIjoiMmQyOWI4MTA5ZjUxOTVhZDRlNGViNjg4YmFkOWNhMjAiLCJ1c2VySWQiOiI3NjQ3NDAxODcifQ==</vt:lpwstr>
  </property>
  <property fmtid="{D5CDD505-2E9C-101B-9397-08002B2CF9AE}" pid="3" name="KSOProductBuildVer">
    <vt:lpwstr>2052-12.1.0.21541</vt:lpwstr>
  </property>
  <property fmtid="{D5CDD505-2E9C-101B-9397-08002B2CF9AE}" pid="4" name="ICV">
    <vt:lpwstr>8C395773EE6D406FA49293D10A3E1A65_12</vt:lpwstr>
  </property>
</Properties>
</file>